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
          <w:sz w:val="30"/>
          <w:szCs w:val="30"/>
        </w:rPr>
      </w:pPr>
      <w:r>
        <w:rPr>
          <w:rFonts w:hint="eastAsia" w:ascii="宋体" w:hAnsi="宋体"/>
          <w:b/>
          <w:sz w:val="44"/>
          <w:szCs w:val="44"/>
        </w:rPr>
        <w:t>二、</w:t>
      </w:r>
      <w:r>
        <w:rPr>
          <w:rFonts w:hint="eastAsia" w:ascii="宋体" w:hAnsi="宋体"/>
          <w:b/>
          <w:bCs/>
          <w:sz w:val="44"/>
        </w:rPr>
        <w:t>评审结论</w:t>
      </w:r>
    </w:p>
    <w:p>
      <w:pPr>
        <w:adjustRightInd w:val="0"/>
        <w:snapToGrid w:val="0"/>
        <w:jc w:val="center"/>
        <w:rPr>
          <w:rFonts w:hint="eastAsia" w:ascii="宋体" w:hAnsi="宋体"/>
          <w:b/>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992"/>
        <w:gridCol w:w="1291"/>
        <w:gridCol w:w="246"/>
        <w:gridCol w:w="1513"/>
        <w:gridCol w:w="634"/>
        <w:gridCol w:w="9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352" w:type="dxa"/>
            <w:gridSpan w:val="8"/>
            <w:noWrap w:val="0"/>
            <w:vAlign w:val="center"/>
          </w:tcPr>
          <w:p>
            <w:pPr>
              <w:spacing w:line="320" w:lineRule="exact"/>
              <w:jc w:val="center"/>
              <w:rPr>
                <w:rFonts w:hint="eastAsia" w:ascii="宋体" w:hAnsi="宋体"/>
                <w:bCs/>
                <w:sz w:val="24"/>
                <w:szCs w:val="24"/>
              </w:rPr>
            </w:pPr>
            <w:r>
              <w:rPr>
                <w:rFonts w:hint="eastAsia" w:ascii="宋体" w:hAnsi="宋体"/>
                <w:bCs/>
                <w:sz w:val="24"/>
                <w:szCs w:val="24"/>
              </w:rPr>
              <w:t>宁夏黄土高原地区淤地坝安全度汛管理平台基础资料收集与复核项目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330" w:type="dxa"/>
            <w:gridSpan w:val="2"/>
            <w:noWrap w:val="0"/>
            <w:vAlign w:val="center"/>
          </w:tcPr>
          <w:p>
            <w:pPr>
              <w:spacing w:line="320" w:lineRule="exact"/>
              <w:jc w:val="center"/>
              <w:rPr>
                <w:rFonts w:hint="eastAsia" w:ascii="宋体" w:hAnsi="宋体"/>
                <w:bCs/>
                <w:sz w:val="24"/>
                <w:szCs w:val="24"/>
              </w:rPr>
            </w:pPr>
            <w:r>
              <w:rPr>
                <w:rFonts w:hint="eastAsia" w:ascii="宋体" w:hAnsi="宋体"/>
                <w:bCs/>
                <w:sz w:val="24"/>
                <w:szCs w:val="24"/>
              </w:rPr>
              <w:t>投标供应商名称</w:t>
            </w:r>
          </w:p>
        </w:tc>
        <w:tc>
          <w:tcPr>
            <w:tcW w:w="1537" w:type="dxa"/>
            <w:gridSpan w:val="2"/>
            <w:noWrap w:val="0"/>
            <w:vAlign w:val="center"/>
          </w:tcPr>
          <w:p>
            <w:pPr>
              <w:spacing w:line="320" w:lineRule="exact"/>
              <w:jc w:val="center"/>
              <w:rPr>
                <w:rFonts w:hint="eastAsia" w:ascii="宋体" w:hAnsi="宋体"/>
                <w:bCs/>
                <w:sz w:val="24"/>
                <w:szCs w:val="24"/>
              </w:rPr>
            </w:pPr>
            <w:r>
              <w:rPr>
                <w:rFonts w:hint="eastAsia" w:ascii="宋体" w:hAnsi="宋体"/>
                <w:bCs/>
                <w:sz w:val="24"/>
                <w:szCs w:val="24"/>
                <w:lang w:eastAsia="zh-CN"/>
              </w:rPr>
              <w:t>响应</w:t>
            </w:r>
            <w:r>
              <w:rPr>
                <w:rFonts w:hint="eastAsia" w:ascii="宋体" w:hAnsi="宋体"/>
                <w:bCs/>
                <w:sz w:val="24"/>
                <w:szCs w:val="24"/>
              </w:rPr>
              <w:t>文件报价</w:t>
            </w:r>
            <w:r>
              <w:rPr>
                <w:rFonts w:hint="eastAsia" w:ascii="宋体" w:hAnsi="宋体"/>
                <w:bCs/>
                <w:sz w:val="24"/>
                <w:szCs w:val="24"/>
                <w:lang w:eastAsia="zh-CN"/>
              </w:rPr>
              <w:t>（元）</w:t>
            </w:r>
          </w:p>
        </w:tc>
        <w:tc>
          <w:tcPr>
            <w:tcW w:w="1513" w:type="dxa"/>
            <w:noWrap w:val="0"/>
            <w:vAlign w:val="center"/>
          </w:tcPr>
          <w:p>
            <w:pPr>
              <w:spacing w:line="320" w:lineRule="exact"/>
              <w:jc w:val="center"/>
              <w:rPr>
                <w:rFonts w:hint="eastAsia" w:ascii="宋体" w:hAnsi="宋体"/>
                <w:bCs/>
                <w:sz w:val="24"/>
                <w:szCs w:val="24"/>
                <w:lang w:eastAsia="zh-CN"/>
              </w:rPr>
            </w:pPr>
            <w:r>
              <w:rPr>
                <w:rFonts w:hint="eastAsia" w:ascii="宋体" w:hAnsi="宋体"/>
                <w:bCs/>
                <w:sz w:val="24"/>
                <w:szCs w:val="24"/>
                <w:lang w:eastAsia="zh-CN"/>
              </w:rPr>
              <w:t>最终报价</w:t>
            </w:r>
          </w:p>
          <w:p>
            <w:pPr>
              <w:spacing w:line="320" w:lineRule="exact"/>
              <w:jc w:val="center"/>
              <w:rPr>
                <w:rFonts w:hint="eastAsia" w:ascii="宋体" w:hAnsi="宋体"/>
                <w:bCs/>
                <w:sz w:val="24"/>
                <w:szCs w:val="24"/>
              </w:rPr>
            </w:pPr>
            <w:r>
              <w:rPr>
                <w:rFonts w:hint="eastAsia" w:ascii="宋体" w:hAnsi="宋体"/>
                <w:bCs/>
                <w:sz w:val="24"/>
                <w:szCs w:val="24"/>
                <w:lang w:eastAsia="zh-CN"/>
              </w:rPr>
              <w:t>（元）</w:t>
            </w:r>
          </w:p>
        </w:tc>
        <w:tc>
          <w:tcPr>
            <w:tcW w:w="1587" w:type="dxa"/>
            <w:gridSpan w:val="2"/>
            <w:noWrap w:val="0"/>
            <w:vAlign w:val="center"/>
          </w:tcPr>
          <w:p>
            <w:pPr>
              <w:spacing w:line="320" w:lineRule="exact"/>
              <w:jc w:val="center"/>
              <w:rPr>
                <w:rFonts w:hint="eastAsia" w:ascii="宋体" w:hAnsi="宋体"/>
                <w:bCs/>
                <w:sz w:val="24"/>
                <w:szCs w:val="24"/>
              </w:rPr>
            </w:pPr>
            <w:r>
              <w:rPr>
                <w:rFonts w:hint="eastAsia" w:ascii="宋体" w:hAnsi="宋体"/>
                <w:bCs/>
                <w:sz w:val="24"/>
                <w:szCs w:val="24"/>
              </w:rPr>
              <w:t>成交价格</w:t>
            </w:r>
          </w:p>
          <w:p>
            <w:pPr>
              <w:spacing w:line="320" w:lineRule="exact"/>
              <w:jc w:val="center"/>
              <w:rPr>
                <w:rFonts w:hint="eastAsia" w:ascii="宋体" w:hAnsi="宋体"/>
                <w:bCs/>
                <w:sz w:val="24"/>
                <w:szCs w:val="24"/>
                <w:lang w:eastAsia="zh-CN"/>
              </w:rPr>
            </w:pPr>
            <w:r>
              <w:rPr>
                <w:rFonts w:hint="eastAsia" w:ascii="宋体" w:hAnsi="宋体"/>
                <w:bCs/>
                <w:sz w:val="24"/>
                <w:szCs w:val="24"/>
                <w:lang w:eastAsia="zh-CN"/>
              </w:rPr>
              <w:t>（元）</w:t>
            </w:r>
          </w:p>
        </w:tc>
        <w:tc>
          <w:tcPr>
            <w:tcW w:w="1385" w:type="dxa"/>
            <w:noWrap w:val="0"/>
            <w:vAlign w:val="center"/>
          </w:tcPr>
          <w:p>
            <w:pPr>
              <w:spacing w:line="320" w:lineRule="exact"/>
              <w:jc w:val="center"/>
              <w:rPr>
                <w:rFonts w:hint="eastAsia" w:ascii="宋体" w:hAnsi="宋体" w:eastAsia="宋体"/>
                <w:bCs/>
                <w:sz w:val="24"/>
                <w:szCs w:val="24"/>
                <w:lang w:eastAsia="zh-CN"/>
              </w:rPr>
            </w:pPr>
            <w:r>
              <w:rPr>
                <w:rFonts w:hint="eastAsia" w:ascii="宋体" w:hAnsi="宋体"/>
                <w:bCs/>
                <w:sz w:val="24"/>
                <w:szCs w:val="24"/>
                <w:lang w:eastAsia="zh-CN"/>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330" w:type="dxa"/>
            <w:gridSpan w:val="2"/>
            <w:noWrap w:val="0"/>
            <w:vAlign w:val="center"/>
          </w:tcPr>
          <w:p>
            <w:pPr>
              <w:jc w:val="left"/>
              <w:rPr>
                <w:rFonts w:hint="eastAsia" w:ascii="宋体" w:hAnsi="宋体"/>
                <w:bCs/>
                <w:sz w:val="24"/>
                <w:szCs w:val="24"/>
              </w:rPr>
            </w:pPr>
            <w:r>
              <w:rPr>
                <w:rFonts w:hint="eastAsia" w:ascii="宋体" w:hAnsi="宋体"/>
                <w:bCs/>
                <w:sz w:val="24"/>
                <w:szCs w:val="24"/>
              </w:rPr>
              <w:t>宁夏大川众合勘测设计院有限公司</w:t>
            </w:r>
          </w:p>
        </w:tc>
        <w:tc>
          <w:tcPr>
            <w:tcW w:w="1537" w:type="dxa"/>
            <w:gridSpan w:val="2"/>
            <w:noWrap w:val="0"/>
            <w:vAlign w:val="center"/>
          </w:tcPr>
          <w:p>
            <w:pPr>
              <w:jc w:val="center"/>
              <w:rPr>
                <w:rFonts w:hint="eastAsia" w:ascii="宋体" w:hAnsi="宋体"/>
                <w:bCs/>
                <w:sz w:val="24"/>
                <w:szCs w:val="24"/>
              </w:rPr>
            </w:pPr>
            <w:r>
              <w:rPr>
                <w:rFonts w:hint="eastAsia" w:ascii="宋体" w:hAnsi="宋体"/>
                <w:bCs/>
                <w:sz w:val="24"/>
                <w:szCs w:val="24"/>
                <w:lang w:val="en-US" w:eastAsia="zh-CN"/>
              </w:rPr>
              <w:t>300000.00</w:t>
            </w:r>
          </w:p>
        </w:tc>
        <w:tc>
          <w:tcPr>
            <w:tcW w:w="1513" w:type="dxa"/>
            <w:noWrap w:val="0"/>
            <w:vAlign w:val="center"/>
          </w:tcPr>
          <w:p>
            <w:pPr>
              <w:jc w:val="center"/>
              <w:rPr>
                <w:rFonts w:hint="eastAsia" w:ascii="宋体" w:hAnsi="宋体"/>
                <w:bCs/>
                <w:sz w:val="24"/>
                <w:szCs w:val="24"/>
              </w:rPr>
            </w:pPr>
            <w:r>
              <w:rPr>
                <w:rFonts w:hint="eastAsia" w:ascii="宋体" w:hAnsi="宋体"/>
                <w:bCs/>
                <w:sz w:val="24"/>
                <w:szCs w:val="24"/>
                <w:lang w:val="en-US" w:eastAsia="zh-CN"/>
              </w:rPr>
              <w:t>299300.00</w:t>
            </w:r>
          </w:p>
        </w:tc>
        <w:tc>
          <w:tcPr>
            <w:tcW w:w="1587" w:type="dxa"/>
            <w:gridSpan w:val="2"/>
            <w:noWrap w:val="0"/>
            <w:vAlign w:val="center"/>
          </w:tcPr>
          <w:p>
            <w:pPr>
              <w:jc w:val="center"/>
              <w:rPr>
                <w:rFonts w:hint="eastAsia" w:ascii="宋体" w:hAnsi="宋体"/>
                <w:bCs/>
                <w:sz w:val="24"/>
                <w:szCs w:val="24"/>
              </w:rPr>
            </w:pPr>
            <w:r>
              <w:rPr>
                <w:rFonts w:hint="eastAsia" w:ascii="宋体" w:hAnsi="宋体"/>
                <w:bCs/>
                <w:sz w:val="24"/>
                <w:szCs w:val="24"/>
                <w:lang w:val="en-US" w:eastAsia="zh-CN"/>
              </w:rPr>
              <w:t>299300.00</w:t>
            </w:r>
          </w:p>
        </w:tc>
        <w:tc>
          <w:tcPr>
            <w:tcW w:w="1385" w:type="dxa"/>
            <w:noWrap w:val="0"/>
            <w:vAlign w:val="center"/>
          </w:tcPr>
          <w:p>
            <w:pPr>
              <w:keepNext w:val="0"/>
              <w:keepLines w:val="0"/>
              <w:widowControl/>
              <w:suppressLineNumbers w:val="0"/>
              <w:jc w:val="center"/>
              <w:textAlignment w:val="center"/>
              <w:rPr>
                <w:rFonts w:hint="eastAsia" w:ascii="宋体" w:hAnsi="宋体"/>
                <w:bCs/>
                <w:sz w:val="24"/>
                <w:szCs w:val="24"/>
              </w:rPr>
            </w:pPr>
            <w:r>
              <w:rPr>
                <w:rFonts w:hint="eastAsia" w:ascii="宋体" w:hAnsi="宋体" w:eastAsia="宋体" w:cs="宋体"/>
                <w:i w:val="0"/>
                <w:color w:val="000000"/>
                <w:kern w:val="0"/>
                <w:sz w:val="24"/>
                <w:szCs w:val="24"/>
                <w:u w:val="none"/>
                <w:lang w:val="en-US" w:eastAsia="zh-CN" w:bidi="ar"/>
              </w:rPr>
              <w:t xml:space="preserve">56.26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330" w:type="dxa"/>
            <w:gridSpan w:val="2"/>
            <w:noWrap w:val="0"/>
            <w:vAlign w:val="center"/>
          </w:tcPr>
          <w:p>
            <w:pPr>
              <w:jc w:val="left"/>
              <w:rPr>
                <w:rFonts w:hint="eastAsia" w:ascii="宋体" w:hAnsi="宋体"/>
                <w:bCs/>
                <w:sz w:val="24"/>
                <w:szCs w:val="24"/>
              </w:rPr>
            </w:pPr>
            <w:r>
              <w:rPr>
                <w:rFonts w:hint="eastAsia" w:ascii="宋体" w:hAnsi="宋体"/>
                <w:bCs/>
                <w:sz w:val="24"/>
                <w:szCs w:val="24"/>
              </w:rPr>
              <w:t>固原市水利勘测设计院有限公司</w:t>
            </w:r>
          </w:p>
        </w:tc>
        <w:tc>
          <w:tcPr>
            <w:tcW w:w="1537" w:type="dxa"/>
            <w:gridSpan w:val="2"/>
            <w:noWrap w:val="0"/>
            <w:vAlign w:val="center"/>
          </w:tcPr>
          <w:p>
            <w:pPr>
              <w:jc w:val="center"/>
              <w:rPr>
                <w:rFonts w:hint="eastAsia" w:ascii="宋体" w:hAnsi="宋体"/>
                <w:bCs/>
                <w:sz w:val="24"/>
                <w:szCs w:val="24"/>
              </w:rPr>
            </w:pPr>
            <w:r>
              <w:rPr>
                <w:rFonts w:hint="eastAsia" w:ascii="宋体" w:hAnsi="宋体"/>
                <w:bCs/>
                <w:sz w:val="24"/>
                <w:szCs w:val="24"/>
                <w:lang w:val="en-US" w:eastAsia="zh-CN"/>
              </w:rPr>
              <w:t>300000.00</w:t>
            </w:r>
          </w:p>
        </w:tc>
        <w:tc>
          <w:tcPr>
            <w:tcW w:w="1513" w:type="dxa"/>
            <w:noWrap w:val="0"/>
            <w:vAlign w:val="center"/>
          </w:tcPr>
          <w:p>
            <w:pPr>
              <w:jc w:val="center"/>
              <w:rPr>
                <w:rFonts w:hint="eastAsia" w:ascii="宋体" w:hAnsi="宋体"/>
                <w:bCs/>
                <w:sz w:val="24"/>
                <w:szCs w:val="24"/>
              </w:rPr>
            </w:pPr>
            <w:r>
              <w:rPr>
                <w:rFonts w:hint="eastAsia" w:ascii="宋体" w:hAnsi="宋体"/>
                <w:bCs/>
                <w:sz w:val="24"/>
                <w:szCs w:val="24"/>
                <w:lang w:val="en-US" w:eastAsia="zh-CN"/>
              </w:rPr>
              <w:t>298000.00</w:t>
            </w:r>
          </w:p>
        </w:tc>
        <w:tc>
          <w:tcPr>
            <w:tcW w:w="1587" w:type="dxa"/>
            <w:gridSpan w:val="2"/>
            <w:noWrap w:val="0"/>
            <w:vAlign w:val="center"/>
          </w:tcPr>
          <w:p>
            <w:pPr>
              <w:jc w:val="center"/>
              <w:rPr>
                <w:rFonts w:hint="eastAsia" w:ascii="宋体" w:hAnsi="宋体"/>
                <w:bCs/>
                <w:sz w:val="24"/>
                <w:szCs w:val="24"/>
              </w:rPr>
            </w:pPr>
            <w:r>
              <w:rPr>
                <w:rFonts w:hint="eastAsia" w:ascii="宋体" w:hAnsi="宋体"/>
                <w:bCs/>
                <w:sz w:val="24"/>
                <w:szCs w:val="24"/>
                <w:lang w:val="en-US" w:eastAsia="zh-CN"/>
              </w:rPr>
              <w:t>298000.00</w:t>
            </w:r>
          </w:p>
        </w:tc>
        <w:tc>
          <w:tcPr>
            <w:tcW w:w="1385" w:type="dxa"/>
            <w:noWrap w:val="0"/>
            <w:vAlign w:val="center"/>
          </w:tcPr>
          <w:p>
            <w:pPr>
              <w:keepNext w:val="0"/>
              <w:keepLines w:val="0"/>
              <w:widowControl/>
              <w:suppressLineNumbers w:val="0"/>
              <w:jc w:val="center"/>
              <w:textAlignment w:val="center"/>
              <w:rPr>
                <w:rFonts w:hint="eastAsia" w:ascii="宋体" w:hAnsi="宋体"/>
                <w:bCs/>
                <w:sz w:val="24"/>
                <w:szCs w:val="24"/>
              </w:rPr>
            </w:pPr>
            <w:r>
              <w:rPr>
                <w:rFonts w:hint="eastAsia" w:ascii="宋体" w:hAnsi="宋体" w:eastAsia="宋体" w:cs="宋体"/>
                <w:i w:val="0"/>
                <w:color w:val="000000"/>
                <w:kern w:val="0"/>
                <w:sz w:val="24"/>
                <w:szCs w:val="24"/>
                <w:u w:val="none"/>
                <w:lang w:val="en-US" w:eastAsia="zh-CN" w:bidi="ar"/>
              </w:rPr>
              <w:t xml:space="preserve">88.33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330" w:type="dxa"/>
            <w:gridSpan w:val="2"/>
            <w:noWrap w:val="0"/>
            <w:vAlign w:val="center"/>
          </w:tcPr>
          <w:p>
            <w:pPr>
              <w:jc w:val="left"/>
              <w:rPr>
                <w:rFonts w:ascii="宋体" w:hAnsi="宋体"/>
                <w:bCs/>
                <w:sz w:val="24"/>
                <w:szCs w:val="24"/>
              </w:rPr>
            </w:pPr>
            <w:r>
              <w:rPr>
                <w:rFonts w:hint="eastAsia" w:ascii="宋体" w:hAnsi="宋体"/>
                <w:bCs/>
                <w:sz w:val="24"/>
                <w:szCs w:val="24"/>
              </w:rPr>
              <w:t>宁夏浩禹工程咨询有限公司</w:t>
            </w:r>
          </w:p>
        </w:tc>
        <w:tc>
          <w:tcPr>
            <w:tcW w:w="1537" w:type="dxa"/>
            <w:gridSpan w:val="2"/>
            <w:noWrap w:val="0"/>
            <w:vAlign w:val="center"/>
          </w:tcPr>
          <w:p>
            <w:pPr>
              <w:jc w:val="center"/>
              <w:rPr>
                <w:rFonts w:hint="eastAsia" w:ascii="宋体" w:hAnsi="宋体"/>
                <w:bCs/>
                <w:sz w:val="24"/>
                <w:szCs w:val="24"/>
              </w:rPr>
            </w:pPr>
            <w:r>
              <w:rPr>
                <w:rFonts w:hint="eastAsia" w:ascii="宋体" w:hAnsi="宋体"/>
                <w:bCs/>
                <w:sz w:val="24"/>
                <w:szCs w:val="24"/>
                <w:lang w:val="en-US" w:eastAsia="zh-CN"/>
              </w:rPr>
              <w:t>300000.00</w:t>
            </w:r>
          </w:p>
        </w:tc>
        <w:tc>
          <w:tcPr>
            <w:tcW w:w="1513" w:type="dxa"/>
            <w:noWrap w:val="0"/>
            <w:vAlign w:val="center"/>
          </w:tcPr>
          <w:p>
            <w:pPr>
              <w:jc w:val="center"/>
              <w:rPr>
                <w:rFonts w:hint="eastAsia" w:ascii="宋体" w:hAnsi="宋体"/>
                <w:bCs/>
                <w:sz w:val="24"/>
                <w:szCs w:val="24"/>
              </w:rPr>
            </w:pPr>
            <w:r>
              <w:rPr>
                <w:rFonts w:hint="eastAsia" w:ascii="宋体" w:hAnsi="宋体"/>
                <w:bCs/>
                <w:sz w:val="24"/>
                <w:szCs w:val="24"/>
                <w:lang w:val="en-US" w:eastAsia="zh-CN"/>
              </w:rPr>
              <w:t>299500.00</w:t>
            </w:r>
          </w:p>
        </w:tc>
        <w:tc>
          <w:tcPr>
            <w:tcW w:w="1587" w:type="dxa"/>
            <w:gridSpan w:val="2"/>
            <w:noWrap w:val="0"/>
            <w:vAlign w:val="center"/>
          </w:tcPr>
          <w:p>
            <w:pPr>
              <w:jc w:val="center"/>
              <w:rPr>
                <w:rFonts w:hint="eastAsia" w:ascii="宋体" w:hAnsi="宋体"/>
                <w:bCs/>
                <w:sz w:val="24"/>
                <w:szCs w:val="24"/>
              </w:rPr>
            </w:pPr>
            <w:r>
              <w:rPr>
                <w:rFonts w:hint="eastAsia" w:ascii="宋体" w:hAnsi="宋体"/>
                <w:bCs/>
                <w:sz w:val="24"/>
                <w:szCs w:val="24"/>
                <w:lang w:val="en-US" w:eastAsia="zh-CN"/>
              </w:rPr>
              <w:t>299500.00</w:t>
            </w:r>
          </w:p>
        </w:tc>
        <w:tc>
          <w:tcPr>
            <w:tcW w:w="1385" w:type="dxa"/>
            <w:noWrap w:val="0"/>
            <w:vAlign w:val="center"/>
          </w:tcPr>
          <w:p>
            <w:pPr>
              <w:keepNext w:val="0"/>
              <w:keepLines w:val="0"/>
              <w:widowControl/>
              <w:suppressLineNumbers w:val="0"/>
              <w:jc w:val="center"/>
              <w:textAlignment w:val="center"/>
              <w:rPr>
                <w:rFonts w:hint="eastAsia" w:ascii="宋体" w:hAnsi="宋体"/>
                <w:bCs/>
                <w:sz w:val="24"/>
                <w:szCs w:val="24"/>
              </w:rPr>
            </w:pPr>
            <w:r>
              <w:rPr>
                <w:rFonts w:hint="eastAsia" w:ascii="宋体" w:hAnsi="宋体" w:eastAsia="宋体" w:cs="宋体"/>
                <w:i w:val="0"/>
                <w:color w:val="000000"/>
                <w:kern w:val="0"/>
                <w:sz w:val="24"/>
                <w:szCs w:val="24"/>
                <w:u w:val="none"/>
                <w:lang w:val="en-US" w:eastAsia="zh-CN" w:bidi="ar"/>
              </w:rPr>
              <w:t xml:space="preserve">56.25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38" w:type="dxa"/>
            <w:noWrap w:val="0"/>
            <w:vAlign w:val="center"/>
          </w:tcPr>
          <w:p>
            <w:pPr>
              <w:spacing w:line="320" w:lineRule="exact"/>
              <w:jc w:val="center"/>
              <w:rPr>
                <w:rFonts w:hint="eastAsia" w:ascii="宋体" w:hAnsi="宋体"/>
                <w:bCs/>
                <w:sz w:val="24"/>
                <w:szCs w:val="24"/>
              </w:rPr>
            </w:pPr>
            <w:r>
              <w:rPr>
                <w:rFonts w:hint="eastAsia" w:ascii="宋体" w:hAnsi="宋体"/>
                <w:bCs/>
                <w:sz w:val="24"/>
                <w:szCs w:val="24"/>
              </w:rPr>
              <w:t>无效供应商名单</w:t>
            </w:r>
          </w:p>
        </w:tc>
        <w:tc>
          <w:tcPr>
            <w:tcW w:w="2283" w:type="dxa"/>
            <w:gridSpan w:val="2"/>
            <w:noWrap w:val="0"/>
            <w:vAlign w:val="center"/>
          </w:tcPr>
          <w:p>
            <w:pPr>
              <w:adjustRightInd w:val="0"/>
              <w:snapToGrid w:val="0"/>
              <w:jc w:val="center"/>
              <w:rPr>
                <w:rFonts w:hint="eastAsia" w:ascii="宋体" w:hAnsi="宋体"/>
                <w:bCs/>
                <w:sz w:val="24"/>
                <w:szCs w:val="24"/>
              </w:rPr>
            </w:pPr>
            <w:r>
              <w:rPr>
                <w:rFonts w:hint="eastAsia" w:ascii="宋体" w:hAnsi="宋体"/>
                <w:bCs/>
                <w:sz w:val="24"/>
                <w:szCs w:val="24"/>
              </w:rPr>
              <w:t>审核不合格原因</w:t>
            </w:r>
          </w:p>
        </w:tc>
        <w:tc>
          <w:tcPr>
            <w:tcW w:w="2393" w:type="dxa"/>
            <w:gridSpan w:val="3"/>
            <w:noWrap w:val="0"/>
            <w:vAlign w:val="center"/>
          </w:tcPr>
          <w:p>
            <w:pPr>
              <w:spacing w:line="320" w:lineRule="exact"/>
              <w:jc w:val="center"/>
              <w:rPr>
                <w:rFonts w:hint="eastAsia" w:ascii="宋体" w:hAnsi="宋体"/>
                <w:bCs/>
                <w:sz w:val="24"/>
                <w:szCs w:val="24"/>
              </w:rPr>
            </w:pPr>
            <w:r>
              <w:rPr>
                <w:rFonts w:hint="eastAsia" w:ascii="宋体" w:hAnsi="宋体"/>
                <w:bCs/>
                <w:sz w:val="24"/>
                <w:szCs w:val="24"/>
              </w:rPr>
              <w:t>弃标供应商名单</w:t>
            </w:r>
          </w:p>
        </w:tc>
        <w:tc>
          <w:tcPr>
            <w:tcW w:w="2338" w:type="dxa"/>
            <w:gridSpan w:val="2"/>
            <w:noWrap w:val="0"/>
            <w:vAlign w:val="center"/>
          </w:tcPr>
          <w:p>
            <w:pPr>
              <w:adjustRightInd w:val="0"/>
              <w:snapToGrid w:val="0"/>
              <w:jc w:val="center"/>
              <w:rPr>
                <w:rFonts w:hint="eastAsia" w:ascii="宋体" w:hAnsi="宋体"/>
                <w:b/>
                <w:sz w:val="24"/>
                <w:szCs w:val="24"/>
              </w:rPr>
            </w:pPr>
            <w:r>
              <w:rPr>
                <w:rFonts w:hint="eastAsia" w:ascii="宋体" w:hAnsi="宋体"/>
                <w:bCs/>
                <w:sz w:val="24"/>
                <w:szCs w:val="24"/>
              </w:rPr>
              <w:t>弃标原因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338" w:type="dxa"/>
            <w:noWrap w:val="0"/>
            <w:vAlign w:val="center"/>
          </w:tcPr>
          <w:p>
            <w:pPr>
              <w:spacing w:line="320" w:lineRule="exact"/>
              <w:jc w:val="center"/>
              <w:rPr>
                <w:rFonts w:hint="eastAsia" w:ascii="宋体" w:hAnsi="宋体"/>
                <w:bCs/>
                <w:sz w:val="28"/>
                <w:szCs w:val="28"/>
              </w:rPr>
            </w:pPr>
            <w:r>
              <w:rPr>
                <w:rFonts w:hint="eastAsia" w:ascii="宋体" w:hAnsi="宋体"/>
                <w:bCs/>
                <w:sz w:val="28"/>
                <w:szCs w:val="28"/>
              </w:rPr>
              <w:t>无</w:t>
            </w:r>
          </w:p>
        </w:tc>
        <w:tc>
          <w:tcPr>
            <w:tcW w:w="2283" w:type="dxa"/>
            <w:gridSpan w:val="2"/>
            <w:noWrap w:val="0"/>
            <w:vAlign w:val="center"/>
          </w:tcPr>
          <w:p>
            <w:pPr>
              <w:adjustRightInd w:val="0"/>
              <w:snapToGrid w:val="0"/>
              <w:jc w:val="center"/>
              <w:rPr>
                <w:rFonts w:hint="eastAsia" w:ascii="宋体" w:hAnsi="宋体"/>
                <w:b/>
                <w:sz w:val="28"/>
                <w:szCs w:val="28"/>
              </w:rPr>
            </w:pPr>
            <w:r>
              <w:rPr>
                <w:rFonts w:hint="eastAsia" w:ascii="宋体" w:hAnsi="宋体"/>
                <w:bCs/>
                <w:sz w:val="28"/>
                <w:szCs w:val="28"/>
              </w:rPr>
              <w:t>/</w:t>
            </w:r>
          </w:p>
        </w:tc>
        <w:tc>
          <w:tcPr>
            <w:tcW w:w="2393" w:type="dxa"/>
            <w:gridSpan w:val="3"/>
            <w:noWrap w:val="0"/>
            <w:vAlign w:val="center"/>
          </w:tcPr>
          <w:p>
            <w:pPr>
              <w:spacing w:line="320" w:lineRule="exact"/>
              <w:jc w:val="center"/>
              <w:rPr>
                <w:rFonts w:hint="eastAsia" w:ascii="宋体" w:hAnsi="宋体"/>
                <w:bCs/>
                <w:sz w:val="28"/>
                <w:szCs w:val="28"/>
              </w:rPr>
            </w:pPr>
            <w:r>
              <w:rPr>
                <w:rFonts w:hint="eastAsia" w:ascii="宋体" w:hAnsi="宋体"/>
                <w:bCs/>
                <w:sz w:val="28"/>
                <w:szCs w:val="28"/>
              </w:rPr>
              <w:t>无</w:t>
            </w:r>
          </w:p>
        </w:tc>
        <w:tc>
          <w:tcPr>
            <w:tcW w:w="2338" w:type="dxa"/>
            <w:gridSpan w:val="2"/>
            <w:noWrap w:val="0"/>
            <w:vAlign w:val="center"/>
          </w:tcPr>
          <w:p>
            <w:pPr>
              <w:adjustRightInd w:val="0"/>
              <w:snapToGrid w:val="0"/>
              <w:jc w:val="center"/>
              <w:rPr>
                <w:rFonts w:hint="eastAsia" w:ascii="宋体" w:hAnsi="宋体"/>
                <w:b/>
                <w:sz w:val="28"/>
                <w:szCs w:val="28"/>
              </w:rPr>
            </w:pPr>
            <w:r>
              <w:rPr>
                <w:rFonts w:hint="eastAsia" w:ascii="宋体" w:hAnsi="宋体"/>
                <w:bCs/>
                <w:sz w:val="28"/>
                <w:szCs w:val="28"/>
              </w:rPr>
              <w:t>/</w:t>
            </w:r>
          </w:p>
        </w:tc>
      </w:tr>
    </w:tbl>
    <w:p>
      <w:pPr>
        <w:adjustRightInd w:val="0"/>
        <w:snapToGrid w:val="0"/>
        <w:spacing w:line="360" w:lineRule="auto"/>
        <w:rPr>
          <w:rFonts w:hint="eastAsia" w:ascii="宋体" w:hAnsi="宋体"/>
          <w:bCs/>
          <w:sz w:val="28"/>
          <w:szCs w:val="28"/>
        </w:rPr>
      </w:pPr>
      <w:r>
        <w:rPr>
          <w:rFonts w:hint="eastAsia" w:ascii="宋体" w:hAnsi="宋体"/>
          <w:bCs/>
          <w:sz w:val="28"/>
          <w:szCs w:val="28"/>
        </w:rPr>
        <w:t>推荐第一名：固原市水利勘测设计院有限公司</w:t>
      </w:r>
    </w:p>
    <w:p>
      <w:pPr>
        <w:adjustRightInd w:val="0"/>
        <w:snapToGrid w:val="0"/>
        <w:spacing w:line="360" w:lineRule="auto"/>
        <w:rPr>
          <w:rFonts w:hint="eastAsia" w:ascii="宋体" w:hAnsi="宋体"/>
          <w:bCs/>
          <w:sz w:val="28"/>
          <w:szCs w:val="28"/>
        </w:rPr>
      </w:pPr>
      <w:r>
        <w:rPr>
          <w:rFonts w:hint="eastAsia" w:ascii="宋体" w:hAnsi="宋体"/>
          <w:bCs/>
          <w:sz w:val="28"/>
          <w:szCs w:val="28"/>
        </w:rPr>
        <w:t>推荐第二名：宁夏大川众合勘测设计院有限公司</w:t>
      </w:r>
    </w:p>
    <w:p>
      <w:pPr>
        <w:adjustRightInd w:val="0"/>
        <w:snapToGrid w:val="0"/>
        <w:spacing w:line="360" w:lineRule="auto"/>
        <w:rPr>
          <w:rFonts w:hint="eastAsia" w:ascii="宋体" w:hAnsi="宋体"/>
          <w:bCs/>
          <w:sz w:val="28"/>
          <w:szCs w:val="28"/>
        </w:rPr>
      </w:pPr>
      <w:r>
        <w:rPr>
          <w:rFonts w:hint="eastAsia" w:ascii="宋体" w:hAnsi="宋体"/>
          <w:bCs/>
          <w:sz w:val="28"/>
          <w:szCs w:val="28"/>
        </w:rPr>
        <w:t>推荐第三名：宁夏浩禹工程咨询有限公司</w:t>
      </w:r>
    </w:p>
    <w:p>
      <w:pPr>
        <w:adjustRightInd w:val="0"/>
        <w:snapToGrid w:val="0"/>
        <w:spacing w:line="360" w:lineRule="auto"/>
        <w:rPr>
          <w:rFonts w:hint="eastAsia" w:ascii="宋体" w:hAnsi="宋体"/>
          <w:bCs/>
          <w:sz w:val="28"/>
          <w:szCs w:val="28"/>
        </w:rPr>
      </w:pPr>
      <w:r>
        <w:rPr>
          <w:rFonts w:hint="eastAsia" w:ascii="宋体" w:hAnsi="宋体"/>
          <w:sz w:val="28"/>
          <w:szCs w:val="28"/>
        </w:rPr>
        <w:t>推荐成交供应商：</w:t>
      </w:r>
      <w:r>
        <w:rPr>
          <w:rFonts w:hint="eastAsia" w:ascii="宋体" w:hAnsi="宋体"/>
          <w:bCs/>
          <w:sz w:val="28"/>
          <w:szCs w:val="28"/>
        </w:rPr>
        <w:t>固原市水利勘测设计院有限公司</w:t>
      </w:r>
    </w:p>
    <w:p>
      <w:pPr>
        <w:adjustRightInd w:val="0"/>
        <w:snapToGrid w:val="0"/>
        <w:spacing w:line="360" w:lineRule="auto"/>
        <w:rPr>
          <w:rFonts w:hint="eastAsia" w:ascii="宋体" w:hAnsi="宋体"/>
          <w:bCs/>
          <w:color w:val="000000"/>
          <w:sz w:val="28"/>
          <w:szCs w:val="28"/>
        </w:rPr>
      </w:pPr>
      <w:r>
        <w:rPr>
          <w:rFonts w:hint="eastAsia" w:ascii="宋体" w:hAnsi="宋体"/>
          <w:bCs/>
          <w:sz w:val="28"/>
          <w:szCs w:val="28"/>
        </w:rPr>
        <w:t>成交金额：</w:t>
      </w:r>
      <w:r>
        <w:rPr>
          <w:rFonts w:hint="eastAsia" w:ascii="宋体" w:hAnsi="宋体"/>
          <w:bCs/>
          <w:color w:val="000000"/>
          <w:sz w:val="28"/>
          <w:szCs w:val="28"/>
        </w:rPr>
        <w:t>贰拾玖万捌仟元整（￥298000.00元）</w:t>
      </w:r>
    </w:p>
    <w:p>
      <w:pPr>
        <w:adjustRightInd w:val="0"/>
        <w:snapToGrid w:val="0"/>
        <w:spacing w:line="360" w:lineRule="auto"/>
        <w:rPr>
          <w:rFonts w:hint="eastAsia" w:ascii="宋体" w:hAnsi="宋体"/>
          <w:bCs/>
          <w:color w:val="000000"/>
          <w:sz w:val="28"/>
          <w:szCs w:val="28"/>
        </w:rPr>
      </w:pPr>
    </w:p>
    <w:p>
      <w:pPr>
        <w:adjustRightInd w:val="0"/>
        <w:snapToGrid w:val="0"/>
        <w:spacing w:line="360" w:lineRule="auto"/>
        <w:rPr>
          <w:rFonts w:hint="eastAsia" w:ascii="宋体" w:hAnsi="宋体"/>
          <w:bCs/>
          <w:color w:val="000000"/>
          <w:sz w:val="28"/>
          <w:szCs w:val="28"/>
        </w:rPr>
      </w:pPr>
    </w:p>
    <w:p>
      <w:pPr>
        <w:snapToGrid w:val="0"/>
        <w:spacing w:line="360" w:lineRule="auto"/>
        <w:rPr>
          <w:rFonts w:hint="eastAsia" w:ascii="宋体" w:hAnsi="宋体"/>
          <w:bCs/>
          <w:sz w:val="28"/>
          <w:szCs w:val="28"/>
          <w:u w:val="single"/>
        </w:rPr>
      </w:pPr>
      <w:r>
        <w:rPr>
          <w:rFonts w:hint="eastAsia" w:ascii="宋体" w:hAnsi="宋体"/>
          <w:bCs/>
          <w:sz w:val="28"/>
          <w:szCs w:val="28"/>
        </w:rPr>
        <w:t>评标简述：</w:t>
      </w:r>
      <w:r>
        <w:rPr>
          <w:rFonts w:hint="eastAsia" w:ascii="宋体" w:hAnsi="宋体"/>
          <w:sz w:val="28"/>
          <w:szCs w:val="28"/>
          <w:u w:val="single"/>
        </w:rPr>
        <w:t>磋商小组遵循政府采购法规定的原则，在满足竞争性磋商采购文件，保证采购项目质量的前提下，在</w:t>
      </w:r>
      <w:bookmarkStart w:id="0" w:name="_GoBack"/>
      <w:bookmarkEnd w:id="0"/>
      <w:r>
        <w:rPr>
          <w:rFonts w:hint="eastAsia" w:ascii="宋体" w:hAnsi="宋体"/>
          <w:sz w:val="28"/>
          <w:szCs w:val="28"/>
          <w:u w:val="single"/>
        </w:rPr>
        <w:t>报价的基础上商定合理的价格，推荐成交供应商。</w:t>
      </w:r>
      <w:r>
        <w:rPr>
          <w:rFonts w:hint="eastAsia" w:ascii="宋体" w:hAnsi="宋体"/>
          <w:bCs/>
          <w:sz w:val="28"/>
          <w:szCs w:val="28"/>
          <w:u w:val="single"/>
        </w:rPr>
        <w:t xml:space="preserve"> </w:t>
      </w:r>
    </w:p>
    <w:p>
      <w:pPr>
        <w:snapToGrid w:val="0"/>
        <w:spacing w:line="360" w:lineRule="auto"/>
        <w:rPr>
          <w:rFonts w:hint="eastAsia" w:ascii="宋体" w:hAnsi="宋体"/>
          <w:bCs/>
          <w:sz w:val="28"/>
          <w:szCs w:val="28"/>
          <w:u w:val="single"/>
        </w:rPr>
      </w:pPr>
    </w:p>
    <w:p>
      <w:pPr>
        <w:snapToGrid w:val="0"/>
        <w:spacing w:line="360" w:lineRule="auto"/>
        <w:rPr>
          <w:rFonts w:hint="eastAsia" w:ascii="宋体" w:hAnsi="宋体"/>
          <w:bCs/>
          <w:sz w:val="28"/>
          <w:szCs w:val="28"/>
          <w:u w:val="single"/>
        </w:rPr>
      </w:pPr>
    </w:p>
    <w:p>
      <w:pPr>
        <w:snapToGrid w:val="0"/>
        <w:spacing w:line="360" w:lineRule="auto"/>
        <w:ind w:firstLine="5600" w:firstLineChars="2000"/>
        <w:rPr>
          <w:rFonts w:hint="default" w:ascii="宋体" w:hAnsi="宋体" w:eastAsia="宋体"/>
          <w:bCs/>
          <w:sz w:val="28"/>
          <w:szCs w:val="28"/>
          <w:u w:val="none"/>
          <w:lang w:val="en-US" w:eastAsia="zh-CN"/>
        </w:rPr>
      </w:pPr>
      <w:r>
        <w:rPr>
          <w:rFonts w:hint="eastAsia" w:ascii="宋体" w:hAnsi="宋体"/>
          <w:bCs/>
          <w:sz w:val="28"/>
          <w:szCs w:val="28"/>
          <w:u w:val="none"/>
          <w:lang w:val="en-US" w:eastAsia="zh-CN"/>
        </w:rPr>
        <w:t>2022年6月17日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04BE8"/>
    <w:rsid w:val="6B3D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2022-06-17T11:37:00Z</dcterms:created>
  <dc:creator>Asus</dc:creator>
  <cp:lastModifiedBy>Asus</cp:lastModifiedBy>
  <dcterms:modified xsi:type="dcterms:W3CDTF">2022-06-17T11:38:51Z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007B49634CC54FF6B84E0B5F5DBE1814</vt:lpwstr>
  </property>
</Properties>
</file>